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outlineLvl w:val="0"/>
        <w:rPr>
          <w:rFonts w:ascii="黑体" w:hAnsi="黑体" w:eastAsia="黑体" w:cs="黑体"/>
          <w:kern w:val="36"/>
          <w:szCs w:val="32"/>
        </w:rPr>
      </w:pPr>
      <w:bookmarkStart w:id="0" w:name="_GoBack"/>
      <w:bookmarkEnd w:id="0"/>
      <w:r>
        <w:rPr>
          <w:rFonts w:hint="eastAsia" w:ascii="黑体" w:hAnsi="黑体" w:eastAsia="黑体" w:cs="黑体"/>
          <w:kern w:val="36"/>
          <w:szCs w:val="32"/>
        </w:rPr>
        <w:t>附件</w:t>
      </w:r>
    </w:p>
    <w:p>
      <w:pPr>
        <w:pStyle w:val="11"/>
        <w:ind w:firstLine="632"/>
      </w:pPr>
    </w:p>
    <w:p>
      <w:pPr>
        <w:widowControl/>
        <w:ind w:firstLine="712"/>
        <w:jc w:val="center"/>
        <w:outlineLvl w:val="0"/>
        <w:rPr>
          <w:rFonts w:ascii="方正小标宋简体" w:hAnsi="方正小标宋简体" w:eastAsia="方正小标宋简体" w:cs="方正小标宋简体"/>
          <w:kern w:val="36"/>
          <w:sz w:val="36"/>
          <w:szCs w:val="36"/>
        </w:rPr>
      </w:pPr>
      <w:r>
        <w:rPr>
          <w:rFonts w:hint="eastAsia" w:ascii="方正小标宋简体" w:hAnsi="方正小标宋简体" w:eastAsia="方正小标宋简体" w:cs="方正小标宋简体"/>
          <w:kern w:val="36"/>
          <w:sz w:val="36"/>
          <w:szCs w:val="36"/>
        </w:rPr>
        <w:t>生态环境部2022年“我是生态环境讲解员”活动</w:t>
      </w:r>
    </w:p>
    <w:p>
      <w:pPr>
        <w:widowControl/>
        <w:ind w:firstLine="712"/>
        <w:jc w:val="center"/>
        <w:outlineLvl w:val="0"/>
        <w:rPr>
          <w:rFonts w:ascii="方正小标宋简体" w:hAnsi="方正小标宋简体" w:eastAsia="方正小标宋简体" w:cs="方正小标宋简体"/>
          <w:kern w:val="36"/>
          <w:sz w:val="36"/>
          <w:szCs w:val="36"/>
        </w:rPr>
      </w:pPr>
      <w:r>
        <w:rPr>
          <w:rFonts w:hint="eastAsia" w:ascii="方正小标宋简体" w:hAnsi="方正小标宋简体" w:eastAsia="方正小标宋简体" w:cs="方正小标宋简体"/>
          <w:kern w:val="36"/>
          <w:sz w:val="36"/>
          <w:szCs w:val="36"/>
        </w:rPr>
        <w:t>实施方案</w:t>
      </w:r>
    </w:p>
    <w:p>
      <w:pPr>
        <w:widowControl/>
        <w:ind w:firstLine="554"/>
        <w:jc w:val="center"/>
        <w:rPr>
          <w:rFonts w:ascii="仿宋" w:hAnsi="仿宋" w:cs="宋体"/>
          <w:b/>
          <w:bCs/>
          <w:kern w:val="0"/>
          <w:sz w:val="28"/>
          <w:szCs w:val="28"/>
        </w:rPr>
      </w:pPr>
    </w:p>
    <w:p>
      <w:pPr>
        <w:ind w:firstLine="632"/>
        <w:rPr>
          <w:rFonts w:ascii="黑体" w:hAnsi="黑体" w:eastAsia="黑体" w:cs="黑体"/>
        </w:rPr>
      </w:pPr>
      <w:r>
        <w:rPr>
          <w:rFonts w:hint="eastAsia" w:ascii="黑体" w:hAnsi="黑体" w:eastAsia="黑体" w:cs="黑体"/>
        </w:rPr>
        <w:t>一、活动主题</w:t>
      </w:r>
    </w:p>
    <w:p>
      <w:pPr>
        <w:ind w:firstLine="632"/>
      </w:pPr>
      <w:r>
        <w:rPr>
          <w:rFonts w:hint="eastAsia"/>
        </w:rPr>
        <w:t>推动绿色低碳发展，共建美丽清洁世界。</w:t>
      </w:r>
    </w:p>
    <w:p>
      <w:pPr>
        <w:ind w:firstLine="632"/>
      </w:pPr>
      <w:r>
        <w:rPr>
          <w:rFonts w:hint="eastAsia"/>
        </w:rPr>
        <w:t>围绕减污降碳总要求，展现科技创新在深入打好污染防治攻坚战、促进经济社会发展全面绿色转型、持续推进生态环境治理体系和治理能力现代化等方面的支撑引领作用，普及科学知识、弘扬科学精神、激发创新活力，推动形成绿色低碳的社会风尚，为迎接党的二十大胜利召开营造良好舆论氛围。</w:t>
      </w:r>
    </w:p>
    <w:p>
      <w:pPr>
        <w:ind w:firstLine="632"/>
        <w:rPr>
          <w:rFonts w:ascii="黑体" w:hAnsi="黑体" w:eastAsia="黑体" w:cs="黑体"/>
        </w:rPr>
      </w:pPr>
      <w:r>
        <w:rPr>
          <w:rFonts w:hint="eastAsia" w:ascii="黑体" w:hAnsi="黑体" w:eastAsia="黑体" w:cs="黑体"/>
        </w:rPr>
        <w:t>二、活动组织</w:t>
      </w:r>
    </w:p>
    <w:p>
      <w:pPr>
        <w:ind w:firstLine="632"/>
      </w:pPr>
      <w:r>
        <w:rPr>
          <w:rFonts w:hint="eastAsia"/>
        </w:rPr>
        <w:t>活动由生态环境部主办，中国环境科学学会、浙江省生态环境厅、浙江省科协承办。</w:t>
      </w:r>
    </w:p>
    <w:p>
      <w:pPr>
        <w:ind w:firstLine="632"/>
      </w:pPr>
      <w:r>
        <w:rPr>
          <w:rFonts w:hint="eastAsia"/>
        </w:rPr>
        <w:t>各省、自治区、直辖市生态环境厅（局）和新疆生产建设兵团生态环境局负责本地区讲解员和讲解选题/剧本的选拔、征集及推荐工作。生态环境部属单位、国家生态环境科普基地和获直接推荐名额的社会机构负责本单位、本领域的讲解员和讲解选题/剧本的选拔与推荐工作。</w:t>
      </w:r>
    </w:p>
    <w:p>
      <w:pPr>
        <w:ind w:firstLine="632"/>
        <w:rPr>
          <w:rFonts w:ascii="黑体" w:hAnsi="黑体" w:eastAsia="黑体" w:cs="黑体"/>
        </w:rPr>
      </w:pPr>
      <w:r>
        <w:rPr>
          <w:rFonts w:hint="eastAsia" w:ascii="黑体" w:hAnsi="黑体" w:eastAsia="黑体" w:cs="黑体"/>
        </w:rPr>
        <w:t>三、报名与推荐要求</w:t>
      </w:r>
    </w:p>
    <w:p>
      <w:pPr>
        <w:ind w:firstLine="632"/>
      </w:pPr>
      <w:r>
        <w:rPr>
          <w:rFonts w:hint="eastAsia"/>
        </w:rPr>
        <w:t xml:space="preserve">（一）优秀讲解员：热爱生态环境保护事业，普通话标准。职业不限，年满16周岁。 </w:t>
      </w:r>
    </w:p>
    <w:p>
      <w:pPr>
        <w:ind w:firstLine="632"/>
      </w:pPr>
      <w:r>
        <w:rPr>
          <w:rFonts w:hint="eastAsia"/>
        </w:rPr>
        <w:t>（二）优秀讲解选题/剧本：要求紧扣活动主题，内容积极向上，具有较强的科学性、创新性和趣味性；文字简洁，条理清晰，表述准确，便于后续科普创作，剧本长度适合3人左右4-6分钟的演出。推荐优秀讲解选题时需填报选题名称、选题背景（300字以内）、故事内容梗概（1000字以内）、推荐参考资料、主创人员等内容；优秀剧本需填报剧本名称、创作立意、主要角色、剧本内容（不超过3000字）、主创人员等信息。</w:t>
      </w:r>
    </w:p>
    <w:p>
      <w:pPr>
        <w:ind w:firstLine="632"/>
      </w:pPr>
      <w:r>
        <w:rPr>
          <w:rFonts w:hint="eastAsia"/>
        </w:rPr>
        <w:t>（三）参与讲解员活动的个人应制作4分钟以内的自主命题讲解视频，鼓励通过单位账号上传抖音并参与话题#2022我是生态环境讲解员。6月</w:t>
      </w:r>
      <w:r>
        <w:t>2</w:t>
      </w:r>
      <w:r>
        <w:rPr>
          <w:rFonts w:hint="eastAsia"/>
        </w:rPr>
        <w:t>0日前，各参赛选手录制上传讲解视频，并完成在线报名（</w:t>
      </w:r>
      <w:r>
        <w:fldChar w:fldCharType="begin"/>
      </w:r>
      <w:r>
        <w:instrText xml:space="preserve"> HYPERLINK "https://www.wjx.top/vj/PIBIWQx.aspx" </w:instrText>
      </w:r>
      <w:r>
        <w:fldChar w:fldCharType="separate"/>
      </w:r>
      <w:r>
        <w:rPr>
          <w:rFonts w:hint="eastAsia"/>
        </w:rPr>
        <w:t>https://www.wjx.top/vj/PIBIWQx.aspx</w:t>
      </w:r>
      <w:r>
        <w:rPr>
          <w:rFonts w:hint="eastAsia"/>
        </w:rPr>
        <w:fldChar w:fldCharType="end"/>
      </w:r>
      <w:r>
        <w:rPr>
          <w:rFonts w:hint="eastAsia"/>
        </w:rPr>
        <w:t>）。7月</w:t>
      </w:r>
      <w:r>
        <w:t>2</w:t>
      </w:r>
      <w:r>
        <w:rPr>
          <w:rFonts w:hint="eastAsia"/>
        </w:rPr>
        <w:t>0日前，各地方、各单位在线查看本地报名情况，并自行组织开展优秀生态环境讲解员预赛，形成推荐名单（本地区数据查询方式另行发放）。</w:t>
      </w:r>
    </w:p>
    <w:p>
      <w:pPr>
        <w:ind w:firstLine="632"/>
      </w:pPr>
      <w:r>
        <w:rPr>
          <w:rFonts w:hint="eastAsia"/>
        </w:rPr>
        <w:t>（四）请各推荐单位于7月20日前自行组织开展完成选拔和推荐工作，在线填写推荐表、打印盖章并上传扫描件（</w:t>
      </w:r>
      <w:r>
        <w:fldChar w:fldCharType="begin"/>
      </w:r>
      <w:r>
        <w:instrText xml:space="preserve"> HYPERLINK "http://www.wjx.cn/vj/O55w2Xn.aspx" </w:instrText>
      </w:r>
      <w:r>
        <w:fldChar w:fldCharType="separate"/>
      </w:r>
      <w:r>
        <w:rPr>
          <w:rFonts w:hint="eastAsia"/>
        </w:rPr>
        <w:t>www.wjx.cn/vj/O55w2Xn.aspx</w:t>
      </w:r>
      <w:r>
        <w:rPr>
          <w:rFonts w:hint="eastAsia"/>
        </w:rPr>
        <w:fldChar w:fldCharType="end"/>
      </w:r>
      <w:r>
        <w:rPr>
          <w:rFonts w:hint="eastAsia"/>
        </w:rPr>
        <w:t>）。</w:t>
      </w:r>
    </w:p>
    <w:p>
      <w:pPr>
        <w:ind w:firstLine="632"/>
        <w:rPr>
          <w:rFonts w:ascii="黑体" w:hAnsi="黑体" w:eastAsia="黑体" w:cs="黑体"/>
        </w:rPr>
      </w:pPr>
      <w:r>
        <w:rPr>
          <w:rFonts w:hint="eastAsia" w:ascii="黑体" w:hAnsi="黑体" w:eastAsia="黑体" w:cs="黑体"/>
        </w:rPr>
        <w:t>四、全国赛事安排</w:t>
      </w:r>
    </w:p>
    <w:p>
      <w:pPr>
        <w:ind w:firstLine="632"/>
        <w:rPr>
          <w:rFonts w:ascii="楷体" w:hAnsi="楷体" w:eastAsia="楷体" w:cs="楷体"/>
        </w:rPr>
      </w:pPr>
      <w:r>
        <w:rPr>
          <w:rFonts w:hint="eastAsia" w:ascii="楷体" w:hAnsi="楷体" w:eastAsia="楷体" w:cs="楷体"/>
        </w:rPr>
        <w:t>（一）优秀讲解员半决赛</w:t>
      </w:r>
    </w:p>
    <w:p>
      <w:pPr>
        <w:ind w:firstLine="632"/>
      </w:pPr>
      <w:r>
        <w:rPr>
          <w:rFonts w:hint="eastAsia"/>
        </w:rPr>
        <w:t>优秀讲解员半决赛采取线上方式，分为两轮进行。</w:t>
      </w:r>
    </w:p>
    <w:p>
      <w:pPr>
        <w:ind w:firstLine="632"/>
      </w:pPr>
      <w:r>
        <w:rPr>
          <w:rFonts w:hint="eastAsia"/>
        </w:rPr>
        <w:t>第一轮分3个组进行，比赛内容为自主命题讲解视频。每个小组3-5名专家评委，对自主命题讲解视频进行打分，平均分为选手得分。若遇选手总分数相同则按评委的第二个最高分高低决定名次，若评委的第二个最高分相同则按第三个最高分高低决定名次，以此类推；若遇评委具体打分均相同，则组织二次打分。每组前5名进入第二轮。</w:t>
      </w:r>
    </w:p>
    <w:p>
      <w:pPr>
        <w:ind w:firstLine="632"/>
      </w:pPr>
      <w:r>
        <w:rPr>
          <w:rFonts w:hint="eastAsia"/>
        </w:rPr>
        <w:t>第二轮共15名选手，比赛内容为自主命题讲解视频和随机命题展示。随机命题共15道左右（另行发布），考核选手的随机应变能力，展示方式包括但不限于科普讲解、脱口秀、相声、快板、朗诵、歌曲等，限时2分钟。设5-7位专家评委，对自主命题讲解视频和随机命题展示进行综合打分，去掉最高分和最低分后的平均数为选手得分。选手得分前10名进入总决赛。</w:t>
      </w:r>
    </w:p>
    <w:p>
      <w:pPr>
        <w:ind w:firstLine="632"/>
      </w:pPr>
      <w:r>
        <w:rPr>
          <w:rFonts w:hint="eastAsia"/>
        </w:rPr>
        <w:t>根据实际参赛人员规模，主办方可能进行适当调整。</w:t>
      </w:r>
    </w:p>
    <w:p>
      <w:pPr>
        <w:ind w:firstLine="632"/>
        <w:rPr>
          <w:rFonts w:ascii="楷体" w:hAnsi="楷体" w:eastAsia="楷体" w:cs="楷体"/>
        </w:rPr>
      </w:pPr>
      <w:r>
        <w:rPr>
          <w:rFonts w:hint="eastAsia" w:ascii="楷体" w:hAnsi="楷体" w:eastAsia="楷体" w:cs="楷体"/>
        </w:rPr>
        <w:t>（二）优秀讲解员总决赛</w:t>
      </w:r>
    </w:p>
    <w:p>
      <w:pPr>
        <w:ind w:firstLine="632"/>
      </w:pPr>
      <w:r>
        <w:rPr>
          <w:rFonts w:hint="eastAsia"/>
        </w:rPr>
        <w:t>优秀讲解员总决赛采取线下方式进行，由自主命题讲解、随机命题展示和情景表演三个环节组成。设5-7位专家评委和若干名大众评委，共同进行综合评判。</w:t>
      </w:r>
    </w:p>
    <w:p>
      <w:pPr>
        <w:ind w:firstLine="632"/>
      </w:pPr>
      <w:r>
        <w:rPr>
          <w:rFonts w:hint="eastAsia"/>
        </w:rPr>
        <w:t>自主命题讲解限时4分钟。讲解时，选手须借助多媒体等多种手段辅助进行讲解，丰富舞台效果。</w:t>
      </w:r>
    </w:p>
    <w:p>
      <w:pPr>
        <w:ind w:firstLine="632"/>
      </w:pPr>
      <w:r>
        <w:rPr>
          <w:rFonts w:hint="eastAsia"/>
        </w:rPr>
        <w:t>随机命题展示限时2分钟，考核选手的随机应变能力，展示方式包括但不限于科普讲解、脱口秀、相声、快板、朗诵、歌曲等。</w:t>
      </w:r>
    </w:p>
    <w:p>
      <w:pPr>
        <w:ind w:firstLine="632"/>
      </w:pPr>
      <w:r>
        <w:rPr>
          <w:rFonts w:hint="eastAsia"/>
        </w:rPr>
        <w:t>情景表演每组由2-4人组成，时间4-6分钟，考核选手的团队协作和临场发挥能力，小组成员可根据活动提供的剧本进行二度创作。</w:t>
      </w:r>
    </w:p>
    <w:p>
      <w:pPr>
        <w:ind w:firstLine="632"/>
      </w:pPr>
      <w:r>
        <w:rPr>
          <w:rFonts w:hint="eastAsia"/>
        </w:rPr>
        <w:t>根据实际情况，主办方可能对方案进行适当调整。</w:t>
      </w:r>
    </w:p>
    <w:p>
      <w:pPr>
        <w:ind w:firstLine="632"/>
        <w:rPr>
          <w:rFonts w:ascii="楷体" w:hAnsi="楷体" w:eastAsia="楷体" w:cs="楷体"/>
        </w:rPr>
      </w:pPr>
      <w:r>
        <w:rPr>
          <w:rFonts w:hint="eastAsia" w:ascii="楷体" w:hAnsi="楷体" w:eastAsia="楷体" w:cs="楷体"/>
        </w:rPr>
        <w:t>（三）优秀讲解选题/剧本评议</w:t>
      </w:r>
    </w:p>
    <w:p>
      <w:pPr>
        <w:ind w:firstLine="632"/>
      </w:pPr>
      <w:r>
        <w:rPr>
          <w:rFonts w:hint="eastAsia"/>
        </w:rPr>
        <w:t>优秀讲解选题/剧本评议分初评和复评两轮进行，每轮设5-7位专家评委，分别对讲解选题/剧本进行打分。所有评委打分去掉最高分和最低分后的平均数为作品得分。</w:t>
      </w:r>
    </w:p>
    <w:p>
      <w:pPr>
        <w:ind w:firstLine="632"/>
        <w:rPr>
          <w:rFonts w:ascii="黑体" w:hAnsi="黑体" w:eastAsia="黑体" w:cs="黑体"/>
        </w:rPr>
      </w:pPr>
      <w:r>
        <w:rPr>
          <w:rFonts w:hint="eastAsia" w:ascii="黑体" w:hAnsi="黑体" w:eastAsia="黑体" w:cs="黑体"/>
        </w:rPr>
        <w:t>五、评分标准</w:t>
      </w:r>
    </w:p>
    <w:p>
      <w:pPr>
        <w:ind w:firstLine="632"/>
        <w:rPr>
          <w:rFonts w:ascii="楷体" w:hAnsi="楷体" w:eastAsia="楷体" w:cs="楷体"/>
        </w:rPr>
      </w:pPr>
      <w:r>
        <w:rPr>
          <w:rFonts w:hint="eastAsia" w:ascii="楷体" w:hAnsi="楷体" w:eastAsia="楷体" w:cs="楷体"/>
        </w:rPr>
        <w:t>（一）优秀讲解员</w:t>
      </w:r>
    </w:p>
    <w:p>
      <w:pPr>
        <w:ind w:firstLine="632"/>
      </w:pPr>
      <w:r>
        <w:rPr>
          <w:rFonts w:hint="eastAsia"/>
        </w:rPr>
        <w:t>自主命题讲解：内容陈述科学准确、重点突出；层次清晰、逻辑性强；通俗易懂、深入浅出。语言表达发音标准、吐字清晰；语言生动、风趣幽默。整体形象衣着整齐，精神饱满，举止大方，自然得体。</w:t>
      </w:r>
    </w:p>
    <w:p>
      <w:pPr>
        <w:ind w:firstLine="632"/>
      </w:pPr>
      <w:r>
        <w:rPr>
          <w:rFonts w:hint="eastAsia"/>
        </w:rPr>
        <w:t>随机命题展示：与命题密切相关，蕴含一定生态环境科技知识或理念，合乎逻辑；重点突出，寓意深刻；密切联系生活，特色鲜明；表达思路清晰，具有创意。</w:t>
      </w:r>
    </w:p>
    <w:p>
      <w:pPr>
        <w:ind w:firstLine="632"/>
      </w:pPr>
      <w:r>
        <w:rPr>
          <w:rFonts w:hint="eastAsia"/>
        </w:rPr>
        <w:t>情景表演：主题鲜明，剧情合理，传达一定生态环境科技知识或理念；语言自然流畅，富有真情实感；配合默契，可观赏性强。</w:t>
      </w:r>
    </w:p>
    <w:p>
      <w:pPr>
        <w:ind w:firstLine="632"/>
        <w:rPr>
          <w:rFonts w:ascii="楷体" w:hAnsi="楷体" w:eastAsia="楷体" w:cs="楷体"/>
        </w:rPr>
      </w:pPr>
      <w:r>
        <w:rPr>
          <w:rFonts w:hint="eastAsia" w:ascii="楷体" w:hAnsi="楷体" w:eastAsia="楷体" w:cs="楷体"/>
        </w:rPr>
        <w:t>（二）优秀讲解选题/剧本</w:t>
      </w:r>
    </w:p>
    <w:p>
      <w:pPr>
        <w:ind w:firstLine="632"/>
      </w:pPr>
      <w:r>
        <w:rPr>
          <w:rFonts w:hint="eastAsia"/>
        </w:rPr>
        <w:t>从选题创新性、视角独特性、科学趣味性、艺术感染性等角度，对选题和剧本分别进行综合评判。</w:t>
      </w:r>
    </w:p>
    <w:p>
      <w:pPr>
        <w:ind w:firstLine="632"/>
        <w:rPr>
          <w:rFonts w:ascii="黑体" w:hAnsi="黑体" w:eastAsia="黑体" w:cs="黑体"/>
        </w:rPr>
      </w:pPr>
      <w:r>
        <w:rPr>
          <w:rFonts w:hint="eastAsia" w:ascii="黑体" w:hAnsi="黑体" w:eastAsia="黑体" w:cs="黑体"/>
        </w:rPr>
        <w:t>六、奖项设置</w:t>
      </w:r>
    </w:p>
    <w:p>
      <w:pPr>
        <w:ind w:firstLine="632"/>
      </w:pPr>
      <w:r>
        <w:rPr>
          <w:rFonts w:hint="eastAsia"/>
        </w:rPr>
        <w:t>（一）优秀讲解员。设特等奖1名、一等奖3名、二等奖6名、三等奖35名，人气奖3名。分别发放证书或奖杯。</w:t>
      </w:r>
    </w:p>
    <w:p>
      <w:pPr>
        <w:ind w:firstLine="632"/>
      </w:pPr>
      <w:r>
        <w:rPr>
          <w:rFonts w:hint="eastAsia"/>
        </w:rPr>
        <w:t>（二）优秀讲解选题/剧本。设十佳选题和剧本各10项，优秀选题和剧本若干项，分别发放证书或奖杯。</w:t>
      </w:r>
    </w:p>
    <w:p>
      <w:pPr>
        <w:ind w:firstLine="632"/>
      </w:pPr>
      <w:r>
        <w:rPr>
          <w:rFonts w:hint="eastAsia"/>
        </w:rPr>
        <w:t>（三）优秀组织奖：设十佳组织单位和优秀组织单位若干名，分别发放证书或奖牌。参评优秀组织奖的单位和社会机构，需在线一并提交（链接：</w:t>
      </w:r>
      <w:r>
        <w:fldChar w:fldCharType="begin"/>
      </w:r>
      <w:r>
        <w:instrText xml:space="preserve"> HYPERLINK "http://www.wjx.cn/vj/ORLHQSr.aspx" </w:instrText>
      </w:r>
      <w:r>
        <w:fldChar w:fldCharType="separate"/>
      </w:r>
      <w:r>
        <w:rPr>
          <w:rFonts w:hint="eastAsia"/>
        </w:rPr>
        <w:t>www.wjx.cn/vj/O55w2Xn.aspx</w:t>
      </w:r>
      <w:r>
        <w:rPr>
          <w:rFonts w:hint="eastAsia"/>
        </w:rPr>
        <w:fldChar w:fldCharType="end"/>
      </w:r>
      <w:r>
        <w:rPr>
          <w:rFonts w:hint="eastAsia"/>
        </w:rPr>
        <w:t>）反映活动组织情况的简介和媒体宣传等佐证资料。</w:t>
      </w:r>
    </w:p>
    <w:p>
      <w:pPr>
        <w:ind w:firstLine="632"/>
      </w:pPr>
      <w:r>
        <w:rPr>
          <w:rFonts w:hint="eastAsia"/>
        </w:rPr>
        <w:t>（四）优秀指导老师：设优秀指导老师若干名，分别发放证书。</w:t>
      </w:r>
    </w:p>
    <w:p>
      <w:pPr>
        <w:ind w:firstLine="632"/>
        <w:rPr>
          <w:rFonts w:ascii="黑体" w:hAnsi="黑体" w:eastAsia="黑体" w:cs="黑体"/>
        </w:rPr>
      </w:pPr>
      <w:r>
        <w:rPr>
          <w:rFonts w:hint="eastAsia" w:ascii="黑体" w:hAnsi="黑体" w:eastAsia="黑体" w:cs="黑体"/>
        </w:rPr>
        <w:t>七、其他要求</w:t>
      </w:r>
    </w:p>
    <w:p>
      <w:pPr>
        <w:ind w:firstLine="632"/>
      </w:pPr>
      <w:r>
        <w:rPr>
          <w:rFonts w:hint="eastAsia"/>
        </w:rPr>
        <w:t>（一）展示要求。讲解员选手自主命题展示时可说明情景设置情况，明确传播对象。总决赛时要求配戴耳麦，拿遥控器或激光笔，全程自行操作视频或PPT等播放设备。PPT（可配有背景音乐）须为WPS、OFFICE 2010等通用版本，画面比例16:9，PPT第一页无动作无声音（用于后台画面准备），选手自行操作到第二页开始声音和动作效果，PPT中若插入视频请使用WMV格式。</w:t>
      </w:r>
    </w:p>
    <w:p>
      <w:pPr>
        <w:ind w:firstLine="632"/>
      </w:pPr>
      <w:r>
        <w:rPr>
          <w:rFonts w:hint="eastAsia"/>
        </w:rPr>
        <w:t>（二）经费。各参加讲解员总决赛选手的差旅、住宿费自理，不需交纳参赛费用。半决赛和总决赛阶段专家聘请、场地租赁、设备配置、服务及人员保障等费用由主承办单位共同承担。</w:t>
      </w:r>
    </w:p>
    <w:p>
      <w:pPr>
        <w:ind w:firstLine="632"/>
      </w:pPr>
      <w:r>
        <w:rPr>
          <w:rFonts w:hint="eastAsia"/>
        </w:rPr>
        <w:t>（三）会务联系。为方便各推荐单位、选手与组织方沟通交流，请自行添加进入活动QQ群，群号为780235492。赛前培训、随机命题和决赛具体时间、地点、方式等相关安排将在群中公布。</w:t>
      </w:r>
    </w:p>
    <w:p>
      <w:pPr>
        <w:ind w:firstLine="0" w:firstLineChars="0"/>
      </w:pPr>
    </w:p>
    <w:p>
      <w:pPr>
        <w:ind w:left="0" w:leftChars="0"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40"/>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40"/>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DFC5B8"/>
    <w:multiLevelType w:val="multilevel"/>
    <w:tmpl w:val="68DFC5B8"/>
    <w:lvl w:ilvl="0" w:tentative="0">
      <w:start w:val="1"/>
      <w:numFmt w:val="chineseCounting"/>
      <w:suff w:val="nothing"/>
      <w:lvlText w:val="%1、"/>
      <w:lvlJc w:val="left"/>
      <w:pPr>
        <w:ind w:left="0" w:firstLine="0"/>
      </w:pPr>
      <w:rPr>
        <w:rFonts w:hint="eastAsia"/>
        <w:lang w:val="en-US"/>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NmU5ZjYxNWFiMGUzNGY4MzY0ZGFiOWVkOWZjMDAifQ=="/>
  </w:docVars>
  <w:rsids>
    <w:rsidRoot w:val="00000000"/>
    <w:rsid w:val="000643DE"/>
    <w:rsid w:val="018406E8"/>
    <w:rsid w:val="0188733B"/>
    <w:rsid w:val="01A055E1"/>
    <w:rsid w:val="01F82836"/>
    <w:rsid w:val="02E76C61"/>
    <w:rsid w:val="03DC1D92"/>
    <w:rsid w:val="03F73F3E"/>
    <w:rsid w:val="040E2EA1"/>
    <w:rsid w:val="04F52F90"/>
    <w:rsid w:val="05367A28"/>
    <w:rsid w:val="05522455"/>
    <w:rsid w:val="0622458C"/>
    <w:rsid w:val="06C11A86"/>
    <w:rsid w:val="06C17079"/>
    <w:rsid w:val="074929F5"/>
    <w:rsid w:val="07E41AD6"/>
    <w:rsid w:val="08E032C6"/>
    <w:rsid w:val="095C42EE"/>
    <w:rsid w:val="09900365"/>
    <w:rsid w:val="09BD3003"/>
    <w:rsid w:val="09C4646D"/>
    <w:rsid w:val="09C54D3F"/>
    <w:rsid w:val="0A7633B1"/>
    <w:rsid w:val="0ACD14DA"/>
    <w:rsid w:val="0B406DB1"/>
    <w:rsid w:val="0BE53954"/>
    <w:rsid w:val="0C303291"/>
    <w:rsid w:val="0DBE03A4"/>
    <w:rsid w:val="0DDB6EF9"/>
    <w:rsid w:val="0DF53639"/>
    <w:rsid w:val="0E9E37F8"/>
    <w:rsid w:val="0EBD7E4A"/>
    <w:rsid w:val="0F8217E4"/>
    <w:rsid w:val="10E73AF7"/>
    <w:rsid w:val="113C43DB"/>
    <w:rsid w:val="11461345"/>
    <w:rsid w:val="11C344DB"/>
    <w:rsid w:val="11ED2C6A"/>
    <w:rsid w:val="129603AE"/>
    <w:rsid w:val="12A61845"/>
    <w:rsid w:val="12AD163D"/>
    <w:rsid w:val="12B1545C"/>
    <w:rsid w:val="154B5C3B"/>
    <w:rsid w:val="163018F9"/>
    <w:rsid w:val="16B1341B"/>
    <w:rsid w:val="16C52324"/>
    <w:rsid w:val="17273483"/>
    <w:rsid w:val="175955F1"/>
    <w:rsid w:val="18AC187D"/>
    <w:rsid w:val="18D9580B"/>
    <w:rsid w:val="1987030E"/>
    <w:rsid w:val="19B5226F"/>
    <w:rsid w:val="1A7133DE"/>
    <w:rsid w:val="1A872594"/>
    <w:rsid w:val="1AE71E27"/>
    <w:rsid w:val="1C804E75"/>
    <w:rsid w:val="1CC56DB9"/>
    <w:rsid w:val="1D05554D"/>
    <w:rsid w:val="1D5B708D"/>
    <w:rsid w:val="1DD2565C"/>
    <w:rsid w:val="1ED1113D"/>
    <w:rsid w:val="1EE6662D"/>
    <w:rsid w:val="1F3B3838"/>
    <w:rsid w:val="1F6E6131"/>
    <w:rsid w:val="1FDE33CF"/>
    <w:rsid w:val="1FFA3D9C"/>
    <w:rsid w:val="208B3834"/>
    <w:rsid w:val="209C46B7"/>
    <w:rsid w:val="20ED0EC8"/>
    <w:rsid w:val="21702632"/>
    <w:rsid w:val="21892E5E"/>
    <w:rsid w:val="219936EC"/>
    <w:rsid w:val="227C35A0"/>
    <w:rsid w:val="23E06602"/>
    <w:rsid w:val="23E675D1"/>
    <w:rsid w:val="24AA4768"/>
    <w:rsid w:val="250F44B0"/>
    <w:rsid w:val="25F063A1"/>
    <w:rsid w:val="26A5032A"/>
    <w:rsid w:val="26D31078"/>
    <w:rsid w:val="276E41B6"/>
    <w:rsid w:val="27973F2D"/>
    <w:rsid w:val="281001C8"/>
    <w:rsid w:val="282C3248"/>
    <w:rsid w:val="28383E6B"/>
    <w:rsid w:val="288721C4"/>
    <w:rsid w:val="29224998"/>
    <w:rsid w:val="2B732428"/>
    <w:rsid w:val="2B901664"/>
    <w:rsid w:val="2C3A4374"/>
    <w:rsid w:val="2C464E5C"/>
    <w:rsid w:val="2D0B636B"/>
    <w:rsid w:val="2D41424C"/>
    <w:rsid w:val="2EEE63F6"/>
    <w:rsid w:val="2F505DA3"/>
    <w:rsid w:val="31F92B4A"/>
    <w:rsid w:val="31FD6D4B"/>
    <w:rsid w:val="33B9734A"/>
    <w:rsid w:val="33DF7558"/>
    <w:rsid w:val="33E506F1"/>
    <w:rsid w:val="3443442D"/>
    <w:rsid w:val="3505587F"/>
    <w:rsid w:val="352C1A24"/>
    <w:rsid w:val="356569AE"/>
    <w:rsid w:val="35750C0D"/>
    <w:rsid w:val="35CE4807"/>
    <w:rsid w:val="35F97D8B"/>
    <w:rsid w:val="364F78FF"/>
    <w:rsid w:val="365D4F64"/>
    <w:rsid w:val="367D1543"/>
    <w:rsid w:val="36B01C9F"/>
    <w:rsid w:val="36E2496F"/>
    <w:rsid w:val="370E7D7F"/>
    <w:rsid w:val="379A2F97"/>
    <w:rsid w:val="38541CE7"/>
    <w:rsid w:val="38B36893"/>
    <w:rsid w:val="38E72157"/>
    <w:rsid w:val="3934025E"/>
    <w:rsid w:val="39C36DE1"/>
    <w:rsid w:val="3A720A8A"/>
    <w:rsid w:val="3AF0030F"/>
    <w:rsid w:val="3BF870E3"/>
    <w:rsid w:val="3C5D26C1"/>
    <w:rsid w:val="3C615ADA"/>
    <w:rsid w:val="3C7452C8"/>
    <w:rsid w:val="3CBB500F"/>
    <w:rsid w:val="3D98217B"/>
    <w:rsid w:val="3DDD5E3E"/>
    <w:rsid w:val="3E25104A"/>
    <w:rsid w:val="3E3727BF"/>
    <w:rsid w:val="3EF405FF"/>
    <w:rsid w:val="3F0A760B"/>
    <w:rsid w:val="3F334650"/>
    <w:rsid w:val="3F5E78A2"/>
    <w:rsid w:val="4042395D"/>
    <w:rsid w:val="40F92CD0"/>
    <w:rsid w:val="41E850C2"/>
    <w:rsid w:val="42B26B22"/>
    <w:rsid w:val="42B321DE"/>
    <w:rsid w:val="435F5373"/>
    <w:rsid w:val="43E73732"/>
    <w:rsid w:val="4555676E"/>
    <w:rsid w:val="459E79E0"/>
    <w:rsid w:val="45D34B8A"/>
    <w:rsid w:val="46214A23"/>
    <w:rsid w:val="46425009"/>
    <w:rsid w:val="46473652"/>
    <w:rsid w:val="468A4F11"/>
    <w:rsid w:val="46B83150"/>
    <w:rsid w:val="46D7356E"/>
    <w:rsid w:val="47346FDA"/>
    <w:rsid w:val="48A82674"/>
    <w:rsid w:val="494E1309"/>
    <w:rsid w:val="499C585C"/>
    <w:rsid w:val="49C92974"/>
    <w:rsid w:val="4AC36F33"/>
    <w:rsid w:val="4AE57CC2"/>
    <w:rsid w:val="4B032860"/>
    <w:rsid w:val="4B1727B0"/>
    <w:rsid w:val="4B4F12D8"/>
    <w:rsid w:val="4B854BDD"/>
    <w:rsid w:val="4B99298E"/>
    <w:rsid w:val="4BD03080"/>
    <w:rsid w:val="4C6523C2"/>
    <w:rsid w:val="4CC31402"/>
    <w:rsid w:val="4D1B3CB9"/>
    <w:rsid w:val="4D8334E0"/>
    <w:rsid w:val="4DB44A5C"/>
    <w:rsid w:val="4DD2007A"/>
    <w:rsid w:val="4DE33966"/>
    <w:rsid w:val="4E042B9F"/>
    <w:rsid w:val="4E341F3D"/>
    <w:rsid w:val="4EB34C37"/>
    <w:rsid w:val="4F3C55CE"/>
    <w:rsid w:val="4F8F2C61"/>
    <w:rsid w:val="51602890"/>
    <w:rsid w:val="51CB49D9"/>
    <w:rsid w:val="51E723AC"/>
    <w:rsid w:val="52BF714B"/>
    <w:rsid w:val="52DA40DA"/>
    <w:rsid w:val="531220BD"/>
    <w:rsid w:val="531B0544"/>
    <w:rsid w:val="53AE1E32"/>
    <w:rsid w:val="543D0320"/>
    <w:rsid w:val="549D52D0"/>
    <w:rsid w:val="54B0771C"/>
    <w:rsid w:val="55477BC2"/>
    <w:rsid w:val="55814A61"/>
    <w:rsid w:val="56954A1B"/>
    <w:rsid w:val="56D23A1A"/>
    <w:rsid w:val="56E56BD1"/>
    <w:rsid w:val="57433014"/>
    <w:rsid w:val="57AE6D93"/>
    <w:rsid w:val="583E19B0"/>
    <w:rsid w:val="584222A3"/>
    <w:rsid w:val="58D04C04"/>
    <w:rsid w:val="58DB70F9"/>
    <w:rsid w:val="590B3D62"/>
    <w:rsid w:val="5A065ADB"/>
    <w:rsid w:val="5B69449F"/>
    <w:rsid w:val="5B8B6761"/>
    <w:rsid w:val="5C737154"/>
    <w:rsid w:val="5D2E6C58"/>
    <w:rsid w:val="5E7F68BB"/>
    <w:rsid w:val="5EC77D14"/>
    <w:rsid w:val="5F1902F0"/>
    <w:rsid w:val="5F242A32"/>
    <w:rsid w:val="5FCD1148"/>
    <w:rsid w:val="5FFB70B7"/>
    <w:rsid w:val="600716B3"/>
    <w:rsid w:val="60747968"/>
    <w:rsid w:val="60F27FCC"/>
    <w:rsid w:val="61285D3C"/>
    <w:rsid w:val="61A8412D"/>
    <w:rsid w:val="61EC0DE1"/>
    <w:rsid w:val="621179C9"/>
    <w:rsid w:val="624C575D"/>
    <w:rsid w:val="62C27520"/>
    <w:rsid w:val="62C7242B"/>
    <w:rsid w:val="63121B61"/>
    <w:rsid w:val="63A166ED"/>
    <w:rsid w:val="63FC494D"/>
    <w:rsid w:val="6438035F"/>
    <w:rsid w:val="64CC6F37"/>
    <w:rsid w:val="653A7548"/>
    <w:rsid w:val="65FD4F35"/>
    <w:rsid w:val="66632CD4"/>
    <w:rsid w:val="66A170E3"/>
    <w:rsid w:val="66E46A78"/>
    <w:rsid w:val="674E45B3"/>
    <w:rsid w:val="67995EFF"/>
    <w:rsid w:val="67DF04DC"/>
    <w:rsid w:val="685812E2"/>
    <w:rsid w:val="686540B5"/>
    <w:rsid w:val="69097CFA"/>
    <w:rsid w:val="698E6FB6"/>
    <w:rsid w:val="6A41531C"/>
    <w:rsid w:val="6B343B1F"/>
    <w:rsid w:val="6B4B45AB"/>
    <w:rsid w:val="6D3E7BCF"/>
    <w:rsid w:val="6D4D1DD3"/>
    <w:rsid w:val="6D551338"/>
    <w:rsid w:val="6D6026B6"/>
    <w:rsid w:val="6D8877C9"/>
    <w:rsid w:val="6DDF0FB3"/>
    <w:rsid w:val="6DEB4459"/>
    <w:rsid w:val="6E4B55FF"/>
    <w:rsid w:val="6E6738C4"/>
    <w:rsid w:val="6E844A03"/>
    <w:rsid w:val="6E9D0482"/>
    <w:rsid w:val="6EA8109B"/>
    <w:rsid w:val="6EF86B4C"/>
    <w:rsid w:val="6FCD620C"/>
    <w:rsid w:val="70B43DA7"/>
    <w:rsid w:val="70C759D2"/>
    <w:rsid w:val="713F34F1"/>
    <w:rsid w:val="71594595"/>
    <w:rsid w:val="71CF3B70"/>
    <w:rsid w:val="72347524"/>
    <w:rsid w:val="74FC1889"/>
    <w:rsid w:val="75116B6D"/>
    <w:rsid w:val="767F0A67"/>
    <w:rsid w:val="76A55C55"/>
    <w:rsid w:val="771D275A"/>
    <w:rsid w:val="77456C0D"/>
    <w:rsid w:val="7A332289"/>
    <w:rsid w:val="7A7F0F63"/>
    <w:rsid w:val="7AE2214C"/>
    <w:rsid w:val="7B5F5C50"/>
    <w:rsid w:val="7D2671F3"/>
    <w:rsid w:val="7D4C2116"/>
    <w:rsid w:val="7DCB7149"/>
    <w:rsid w:val="7DE23B5E"/>
    <w:rsid w:val="7E2D02B0"/>
    <w:rsid w:val="7EAD03E3"/>
    <w:rsid w:val="7F17590E"/>
    <w:rsid w:val="7F6232C0"/>
    <w:rsid w:val="7F916228"/>
    <w:rsid w:val="7FA93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1441" w:firstLineChars="20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21"/>
    <w:qFormat/>
    <w:uiPriority w:val="0"/>
    <w:pPr>
      <w:spacing w:before="260" w:beforeAutospacing="0" w:after="260" w:afterAutospacing="0" w:line="360" w:lineRule="auto"/>
      <w:jc w:val="left"/>
      <w:outlineLvl w:val="0"/>
    </w:pPr>
    <w:rPr>
      <w:rFonts w:hint="eastAsia" w:ascii="宋体" w:hAnsi="宋体" w:eastAsia="黑体" w:cs="宋体"/>
      <w:b/>
      <w:kern w:val="44"/>
      <w:szCs w:val="48"/>
      <w:lang w:bidi="ar"/>
    </w:rPr>
  </w:style>
  <w:style w:type="paragraph" w:styleId="3">
    <w:name w:val="heading 2"/>
    <w:basedOn w:val="1"/>
    <w:next w:val="1"/>
    <w:link w:val="22"/>
    <w:semiHidden/>
    <w:unhideWhenUsed/>
    <w:qFormat/>
    <w:uiPriority w:val="0"/>
    <w:pPr>
      <w:keepNext/>
      <w:keepLines/>
      <w:widowControl w:val="0"/>
      <w:suppressLineNumbers w:val="0"/>
      <w:spacing w:before="260" w:beforeAutospacing="0" w:after="260" w:afterAutospacing="0"/>
      <w:ind w:left="0" w:firstLine="640" w:firstLineChars="200"/>
      <w:contextualSpacing/>
      <w:jc w:val="both"/>
      <w:outlineLvl w:val="1"/>
    </w:pPr>
    <w:rPr>
      <w:rFonts w:eastAsia="楷体" w:cs="Times New Roman"/>
      <w:lang w:bidi="ar"/>
    </w:rPr>
  </w:style>
  <w:style w:type="paragraph" w:styleId="4">
    <w:name w:val="heading 3"/>
    <w:basedOn w:val="1"/>
    <w:next w:val="1"/>
    <w:link w:val="20"/>
    <w:semiHidden/>
    <w:unhideWhenUsed/>
    <w:qFormat/>
    <w:uiPriority w:val="0"/>
    <w:pPr>
      <w:keepNext/>
      <w:keepLines/>
      <w:widowControl w:val="0"/>
      <w:suppressLineNumbers w:val="0"/>
      <w:spacing w:before="50" w:beforeLines="50" w:beforeAutospacing="0" w:after="50" w:afterLines="50" w:afterAutospacing="0"/>
      <w:ind w:left="0" w:firstLine="640" w:firstLineChars="200"/>
      <w:contextualSpacing/>
      <w:jc w:val="both"/>
      <w:outlineLvl w:val="2"/>
    </w:pPr>
    <w:rPr>
      <w:rFonts w:cs="Times New Roman"/>
      <w:b/>
      <w:szCs w:val="30"/>
      <w:lang w:bidi="ar"/>
    </w:rPr>
  </w:style>
  <w:style w:type="paragraph" w:styleId="5">
    <w:name w:val="heading 4"/>
    <w:basedOn w:val="1"/>
    <w:next w:val="1"/>
    <w:semiHidden/>
    <w:unhideWhenUsed/>
    <w:qFormat/>
    <w:uiPriority w:val="0"/>
    <w:pPr>
      <w:keepNext/>
      <w:keepLines/>
      <w:numPr>
        <w:ilvl w:val="3"/>
        <w:numId w:val="1"/>
      </w:numPr>
      <w:tabs>
        <w:tab w:val="left" w:pos="0"/>
        <w:tab w:val="left" w:pos="420"/>
      </w:tabs>
      <w:ind w:left="0" w:firstLine="402" w:firstLineChars="0"/>
      <w:outlineLvl w:val="3"/>
    </w:pPr>
    <w:rPr>
      <w:rFonts w:ascii="Times New Roman" w:hAnsi="Times New Roman" w:cstheme="minorBidi"/>
      <w:b/>
      <w:sz w:val="28"/>
      <w:szCs w:val="22"/>
    </w:rPr>
  </w:style>
  <w:style w:type="paragraph" w:styleId="6">
    <w:name w:val="heading 5"/>
    <w:basedOn w:val="1"/>
    <w:next w:val="1"/>
    <w:semiHidden/>
    <w:unhideWhenUsed/>
    <w:qFormat/>
    <w:uiPriority w:val="0"/>
    <w:pPr>
      <w:keepNext/>
      <w:keepLines/>
      <w:numPr>
        <w:ilvl w:val="4"/>
        <w:numId w:val="1"/>
      </w:numPr>
      <w:tabs>
        <w:tab w:val="left" w:pos="0"/>
      </w:tabs>
      <w:ind w:firstLine="402" w:firstLineChars="0"/>
      <w:outlineLvl w:val="4"/>
    </w:pPr>
    <w:rPr>
      <w:rFonts w:ascii="Times New Roman" w:hAnsi="Times New Roman" w:eastAsia="仿宋" w:cstheme="minorBidi"/>
      <w:b/>
      <w:sz w:val="28"/>
      <w:szCs w:val="22"/>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11">
    <w:name w:val="Normal Indent"/>
    <w:basedOn w:val="1"/>
    <w:next w:val="1"/>
    <w:qFormat/>
    <w:uiPriority w:val="0"/>
    <w:pPr>
      <w:ind w:firstLine="420" w:firstLineChars="200"/>
    </w:pPr>
  </w:style>
  <w:style w:type="paragraph" w:styleId="12">
    <w:name w:val="Body Text"/>
    <w:basedOn w:val="1"/>
    <w:link w:val="27"/>
    <w:qFormat/>
    <w:uiPriority w:val="0"/>
    <w:pPr>
      <w:spacing w:after="120" w:line="288" w:lineRule="auto"/>
      <w:ind w:firstLine="422" w:firstLineChars="200"/>
    </w:pPr>
    <w:rPr>
      <w:rFonts w:ascii="Times New Roman" w:hAnsi="Times New Roman" w:eastAsia="宋体"/>
      <w:sz w:val="21"/>
    </w:rPr>
  </w:style>
  <w:style w:type="paragraph" w:styleId="13">
    <w:name w:val="toc 3"/>
    <w:basedOn w:val="1"/>
    <w:next w:val="1"/>
    <w:qFormat/>
    <w:uiPriority w:val="0"/>
    <w:pPr>
      <w:tabs>
        <w:tab w:val="left" w:pos="840"/>
      </w:tabs>
      <w:spacing w:line="560" w:lineRule="exact"/>
      <w:ind w:left="600" w:leftChars="200" w:firstLine="1120" w:firstLineChars="200"/>
    </w:pPr>
    <w:rPr>
      <w:rFonts w:ascii="Times New Roman" w:hAnsi="Times New Roman" w:cstheme="minorBidi"/>
      <w:sz w:val="30"/>
      <w:szCs w:val="22"/>
    </w:rPr>
  </w:style>
  <w:style w:type="paragraph" w:styleId="14">
    <w:name w:val="footer"/>
    <w:basedOn w:val="1"/>
    <w:unhideWhenUsed/>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6">
    <w:name w:val="toc 1"/>
    <w:basedOn w:val="1"/>
    <w:next w:val="1"/>
    <w:qFormat/>
    <w:uiPriority w:val="0"/>
    <w:pPr>
      <w:tabs>
        <w:tab w:val="right" w:leader="dot" w:pos="8296"/>
      </w:tabs>
      <w:spacing w:line="560" w:lineRule="exact"/>
      <w:ind w:firstLine="0" w:firstLineChars="0"/>
    </w:pPr>
    <w:rPr>
      <w:rFonts w:ascii="Times New Roman" w:hAnsi="Times New Roman" w:eastAsia="黑体"/>
      <w:b/>
      <w:bCs/>
      <w:color w:val="0D0D0D" w:themeColor="text1" w:themeTint="F2"/>
      <w:sz w:val="32"/>
      <w:szCs w:val="18"/>
      <w14:textFill>
        <w14:solidFill>
          <w14:schemeClr w14:val="tx1">
            <w14:lumMod w14:val="95000"/>
            <w14:lumOff w14:val="5000"/>
          </w14:schemeClr>
        </w14:solidFill>
      </w14:textFill>
    </w:rPr>
  </w:style>
  <w:style w:type="paragraph" w:styleId="17">
    <w:name w:val="toc 2"/>
    <w:basedOn w:val="1"/>
    <w:next w:val="1"/>
    <w:qFormat/>
    <w:uiPriority w:val="0"/>
    <w:pPr>
      <w:ind w:left="420" w:leftChars="200" w:firstLine="0" w:firstLineChars="0"/>
    </w:pPr>
    <w:rPr>
      <w:rFonts w:ascii="Times New Roman" w:hAnsi="Times New Roman" w:eastAsia="楷体"/>
      <w:sz w:val="32"/>
    </w:rPr>
  </w:style>
  <w:style w:type="character" w:customStyle="1" w:styleId="20">
    <w:name w:val="标题 3 Char1"/>
    <w:link w:val="4"/>
    <w:qFormat/>
    <w:uiPriority w:val="0"/>
    <w:rPr>
      <w:rFonts w:ascii="Times New Roman" w:hAnsi="Times New Roman" w:eastAsia="仿宋" w:cstheme="minorBidi"/>
      <w:b/>
      <w:sz w:val="32"/>
      <w:szCs w:val="22"/>
    </w:rPr>
  </w:style>
  <w:style w:type="character" w:customStyle="1" w:styleId="21">
    <w:name w:val="标题 1 Char"/>
    <w:link w:val="2"/>
    <w:qFormat/>
    <w:uiPriority w:val="0"/>
    <w:rPr>
      <w:rFonts w:ascii="宋体" w:hAnsi="宋体" w:eastAsia="宋体" w:cs="宋体"/>
      <w:b/>
      <w:bCs/>
      <w:kern w:val="44"/>
      <w:sz w:val="44"/>
      <w:szCs w:val="44"/>
    </w:rPr>
  </w:style>
  <w:style w:type="character" w:customStyle="1" w:styleId="22">
    <w:name w:val="标题 2 Char"/>
    <w:link w:val="3"/>
    <w:qFormat/>
    <w:uiPriority w:val="0"/>
    <w:rPr>
      <w:rFonts w:ascii="宋体" w:hAnsi="宋体" w:eastAsia="宋体" w:cs="Times New Roman"/>
      <w:b/>
      <w:bCs/>
      <w:kern w:val="2"/>
      <w:sz w:val="44"/>
      <w:szCs w:val="44"/>
    </w:rPr>
  </w:style>
  <w:style w:type="paragraph" w:customStyle="1" w:styleId="23">
    <w:name w:val="WPSOffice手动目录 1"/>
    <w:qFormat/>
    <w:uiPriority w:val="0"/>
    <w:pPr>
      <w:widowControl w:val="0"/>
      <w:spacing w:line="560" w:lineRule="exact"/>
      <w:ind w:leftChars="0" w:firstLine="0" w:firstLineChars="0"/>
    </w:pPr>
    <w:rPr>
      <w:rFonts w:ascii="Times New Roman" w:hAnsi="Times New Roman" w:eastAsia="黑体" w:cstheme="minorBidi"/>
      <w:sz w:val="32"/>
      <w:szCs w:val="20"/>
    </w:rPr>
  </w:style>
  <w:style w:type="paragraph" w:customStyle="1" w:styleId="24">
    <w:name w:val="WPSOffice手动目录 2"/>
    <w:qFormat/>
    <w:uiPriority w:val="0"/>
    <w:pPr>
      <w:spacing w:line="560" w:lineRule="exact"/>
      <w:ind w:leftChars="200"/>
    </w:pPr>
    <w:rPr>
      <w:rFonts w:ascii="Calibri" w:hAnsi="Calibri" w:eastAsia="楷体" w:cstheme="minorBidi"/>
      <w:sz w:val="32"/>
      <w:szCs w:val="20"/>
    </w:rPr>
  </w:style>
  <w:style w:type="paragraph" w:customStyle="1" w:styleId="25">
    <w:name w:val="WPSOffice手动目录 3"/>
    <w:qFormat/>
    <w:uiPriority w:val="0"/>
    <w:pPr>
      <w:spacing w:line="560" w:lineRule="exact"/>
      <w:ind w:leftChars="400"/>
    </w:pPr>
    <w:rPr>
      <w:rFonts w:ascii="Times New Roman" w:hAnsi="Times New Roman" w:eastAsia="仿宋" w:cstheme="minorBidi"/>
      <w:color w:val="000000" w:themeColor="text1"/>
      <w:sz w:val="30"/>
      <w:szCs w:val="20"/>
      <w14:textFill>
        <w14:solidFill>
          <w14:schemeClr w14:val="tx1"/>
        </w14:solidFill>
      </w14:textFill>
    </w:rPr>
  </w:style>
  <w:style w:type="paragraph" w:styleId="26">
    <w:name w:val="List Paragraph"/>
    <w:basedOn w:val="1"/>
    <w:qFormat/>
    <w:uiPriority w:val="34"/>
    <w:pPr>
      <w:tabs>
        <w:tab w:val="left" w:pos="420"/>
      </w:tabs>
      <w:ind w:firstLine="420" w:firstLineChars="200"/>
    </w:pPr>
    <w:rPr>
      <w:rFonts w:ascii="Times New Roman" w:hAnsi="Times New Roman" w:eastAsia="宋体"/>
      <w:sz w:val="21"/>
    </w:rPr>
  </w:style>
  <w:style w:type="character" w:customStyle="1" w:styleId="27">
    <w:name w:val="正文文本 Char"/>
    <w:link w:val="12"/>
    <w:semiHidden/>
    <w:qFormat/>
    <w:uiPriority w:val="99"/>
    <w:rPr>
      <w:rFonts w:ascii="Times New Roman" w:hAnsi="Times New Roman" w:eastAsia="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2021-08-04T01:51:00Z</dcterms:created>
  <dc:creator>dell</dc:creator>
  <cp:lastModifiedBy>shawn</cp:lastModifiedBy>
  <dcterms:modified xsi:type="dcterms:W3CDTF">2022-05-31T04:34:10Z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8B1C08BF3DD441A0BF8ADEDC423827F7</vt:lpwstr>
  </property>
</Properties>
</file>